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5B59" w:rsidRDefault="00AD4489">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3A5B59" w:rsidRDefault="00AD4489">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1.000940</w:t>
      </w:r>
    </w:p>
    <w:p w:rsidR="003A5B59" w:rsidRDefault="00AD4489">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870/QĐ-BXD</w:t>
      </w:r>
    </w:p>
    <w:p w:rsidR="003A5B59" w:rsidRDefault="00AD4489">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Quyết định đưa cơ sở phá dỡ tàu biển vào hoạt động</w:t>
      </w:r>
    </w:p>
    <w:p w:rsidR="003A5B59" w:rsidRDefault="00AD4489">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3A5B59" w:rsidRDefault="00AD4489">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không được luật giao cho địa phương quy định hoặc quy định chi tiết</w:t>
      </w:r>
    </w:p>
    <w:p w:rsidR="003A5B59" w:rsidRDefault="00AD4489">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3A5B59" w:rsidRDefault="00AD4489">
      <w:pPr>
        <w:spacing w:after="0" w:line="276" w:lineRule="auto"/>
        <w:jc w:val="both"/>
      </w:pPr>
      <w:r>
        <w:rPr>
          <w:rFonts w:ascii="Times New Roman" w:eastAsia="Times New Roman" w:hAnsi="Times New Roman" w:cs="Times New Roman"/>
          <w:b/>
          <w:sz w:val="26"/>
        </w:rPr>
        <w:t xml:space="preserve">Trình tự thực hiện: </w:t>
      </w:r>
    </w:p>
    <w:p w:rsidR="003A5B59" w:rsidRDefault="00AD4489">
      <w:pPr>
        <w:shd w:val="clear" w:color="auto" w:fill="F2F6F9"/>
        <w:spacing w:before="120" w:after="0" w:line="276" w:lineRule="auto"/>
        <w:jc w:val="both"/>
      </w:pPr>
      <w:r>
        <w:rPr>
          <w:rFonts w:ascii="Times New Roman" w:eastAsia="Times New Roman" w:hAnsi="Times New Roman" w:cs="Times New Roman"/>
          <w:b/>
          <w:sz w:val="26"/>
        </w:rPr>
        <w:t>a) Nộp hồ sơ TTHC</w:t>
      </w:r>
    </w:p>
    <w:p w:rsidR="003A5B59" w:rsidRDefault="00AD4489">
      <w:pPr>
        <w:spacing w:after="0" w:line="276" w:lineRule="auto"/>
        <w:jc w:val="both"/>
      </w:pPr>
      <w:r>
        <w:rPr>
          <w:rFonts w:ascii="Times New Roman" w:eastAsia="Times New Roman" w:hAnsi="Times New Roman" w:cs="Times New Roman"/>
          <w:sz w:val="26"/>
        </w:rPr>
        <w:t xml:space="preserve">Chủ cơ sở phá dỡ tàu biển nộp 01 bộ hồ sơ đề nghị đưa cơ sở phá dỡ tàu biển vào hoạt động trực tiếp hoặc qua dịch vụ bưu chính hoặc qua hệ thống dịch vụ công trực tuyến đến Ủy </w:t>
      </w:r>
      <w:r>
        <w:rPr>
          <w:rFonts w:ascii="Times New Roman" w:eastAsia="Times New Roman" w:hAnsi="Times New Roman" w:cs="Times New Roman"/>
          <w:sz w:val="26"/>
        </w:rPr>
        <w:t>ban nhân dân cấp tỉnh.</w:t>
      </w:r>
    </w:p>
    <w:p w:rsidR="003A5B59" w:rsidRDefault="00AD4489">
      <w:pPr>
        <w:shd w:val="clear" w:color="auto" w:fill="F2F6F9"/>
        <w:spacing w:before="120" w:after="0" w:line="276" w:lineRule="auto"/>
        <w:jc w:val="both"/>
      </w:pPr>
      <w:r>
        <w:rPr>
          <w:rFonts w:ascii="Times New Roman" w:eastAsia="Times New Roman" w:hAnsi="Times New Roman" w:cs="Times New Roman"/>
          <w:b/>
          <w:sz w:val="26"/>
        </w:rPr>
        <w:t>b) Giải quyết hồ sơ TTHC</w:t>
      </w:r>
    </w:p>
    <w:p w:rsidR="003A5B59" w:rsidRDefault="00AD4489">
      <w:pPr>
        <w:spacing w:after="0" w:line="276" w:lineRule="auto"/>
        <w:jc w:val="both"/>
      </w:pPr>
      <w:r>
        <w:rPr>
          <w:rFonts w:ascii="Times New Roman" w:eastAsia="Times New Roman" w:hAnsi="Times New Roman" w:cs="Times New Roman"/>
          <w:sz w:val="26"/>
        </w:rPr>
        <w:t>- Ủy ban nhân dân cấp tỉnh tiếp nhận hồ sơ, kiểm tra phù hợp của hồ sơ, trường hợp hồ sơ chưa hợp lệ thì trong thời hạn 02 ngày làm việc kể từ khi nhận được hồ sơ, Ủy ban nhân dân cấp tỉnh hướng dẫn chủ cơ sở</w:t>
      </w:r>
      <w:r>
        <w:rPr>
          <w:rFonts w:ascii="Times New Roman" w:eastAsia="Times New Roman" w:hAnsi="Times New Roman" w:cs="Times New Roman"/>
          <w:sz w:val="26"/>
        </w:rPr>
        <w:t xml:space="preserve"> phá dỡ tàu biển hoàn thiện hồ sơ theo quy định tại Nghị định này. - Trong thời hạn 04 ngày làm việc kể từ ngày nhận đủ hồ sơ hợp lệ, Ủy ban nhân dân cấp tỉnh quyết định đưa cơ sở phá dỡ tàu biển vào hoạt động theo mẫu; trường hợp không chấp thuận phải có </w:t>
      </w:r>
      <w:r>
        <w:rPr>
          <w:rFonts w:ascii="Times New Roman" w:eastAsia="Times New Roman" w:hAnsi="Times New Roman" w:cs="Times New Roman"/>
          <w:sz w:val="26"/>
        </w:rPr>
        <w:t>văn bản trả lời và nêu rõ lý do. Trong quá trình xử lý hồ sơ, Ủy ban nhân dân cấp tỉnh được tiến hành các hoạt động: khảo sát, kiểm chứng các thông tin, số liệu về cơ sở vật chất của cơ sở phá dỡ tàu biển.</w:t>
      </w:r>
    </w:p>
    <w:p w:rsidR="003A5B59" w:rsidRDefault="00AD4489">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535"/>
        <w:gridCol w:w="1577"/>
        <w:gridCol w:w="2553"/>
        <w:gridCol w:w="3746"/>
      </w:tblGrid>
      <w:tr w:rsidR="003A5B59">
        <w:tblPrEx>
          <w:tblCellMar>
            <w:top w:w="0" w:type="dxa"/>
            <w:bottom w:w="0" w:type="dxa"/>
          </w:tblCellMar>
        </w:tblPrEx>
        <w:tc>
          <w:tcPr>
            <w:tcW w:w="15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Hình thức nộp</w:t>
            </w:r>
          </w:p>
        </w:tc>
        <w:tc>
          <w:tcPr>
            <w:tcW w:w="20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Thời hạn giả</w:t>
            </w:r>
            <w:r>
              <w:rPr>
                <w:rFonts w:ascii="Times New Roman" w:eastAsia="Times New Roman" w:hAnsi="Times New Roman" w:cs="Times New Roman"/>
                <w:b/>
                <w:sz w:val="26"/>
              </w:rPr>
              <w:t>i quyết</w:t>
            </w:r>
          </w:p>
        </w:tc>
        <w:tc>
          <w:tcPr>
            <w:tcW w:w="35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Phí, lệ phí</w:t>
            </w:r>
          </w:p>
        </w:tc>
        <w:tc>
          <w:tcPr>
            <w:tcW w:w="30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Mô tả</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Trực tiếp</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04 Ngày làm việc</w:t>
            </w:r>
          </w:p>
        </w:tc>
        <w:tc>
          <w:tcPr>
            <w:tcW w:w="0" w:type="auto"/>
          </w:tcPr>
          <w:p w:rsidR="003A5B59" w:rsidRDefault="003A5B59"/>
          <w:p w:rsidR="003A5B59" w:rsidRDefault="003A5B59">
            <w:pPr>
              <w:spacing w:after="0" w:line="276" w:lineRule="auto"/>
            </w:pP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04 ngày làm việc kể từ ngày nhận đủ hồ sơ hợp lệ</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Trực tuyến</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04 Ngày làm việc</w:t>
            </w:r>
          </w:p>
        </w:tc>
        <w:tc>
          <w:tcPr>
            <w:tcW w:w="0" w:type="auto"/>
          </w:tcPr>
          <w:p w:rsidR="003A5B59" w:rsidRDefault="003A5B59"/>
          <w:p w:rsidR="003A5B59" w:rsidRDefault="003A5B59">
            <w:pPr>
              <w:spacing w:after="0" w:line="276" w:lineRule="auto"/>
            </w:pP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04 ngày làm việc kể từ ngày nhận đủ hồ sơ hợp lệ</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Dịch vụ bưu chính</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04 Ngày làm việc</w:t>
            </w:r>
          </w:p>
        </w:tc>
        <w:tc>
          <w:tcPr>
            <w:tcW w:w="0" w:type="auto"/>
          </w:tcPr>
          <w:p w:rsidR="003A5B59" w:rsidRDefault="003A5B59"/>
          <w:p w:rsidR="003A5B59" w:rsidRDefault="003A5B59">
            <w:pPr>
              <w:spacing w:after="0" w:line="276" w:lineRule="auto"/>
            </w:pP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04 ngày làm việc kể từ</w:t>
            </w:r>
            <w:r>
              <w:rPr>
                <w:rFonts w:ascii="Times New Roman" w:eastAsia="Times New Roman" w:hAnsi="Times New Roman" w:cs="Times New Roman"/>
                <w:sz w:val="26"/>
              </w:rPr>
              <w:t xml:space="preserve"> ngày nhận đủ hồ sơ hợp lệ</w:t>
            </w:r>
          </w:p>
        </w:tc>
      </w:tr>
    </w:tbl>
    <w:p w:rsidR="003A5B59" w:rsidRDefault="00AD4489">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3A5B59" w:rsidRDefault="00AD4489">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6020"/>
        <w:gridCol w:w="2483"/>
        <w:gridCol w:w="908"/>
      </w:tblGrid>
      <w:tr w:rsidR="003A5B59">
        <w:tblPrEx>
          <w:tblCellMar>
            <w:top w:w="0" w:type="dxa"/>
            <w:bottom w:w="0" w:type="dxa"/>
          </w:tblCellMar>
        </w:tblPrEx>
        <w:tc>
          <w:tcPr>
            <w:tcW w:w="60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Tên giấy tờ</w:t>
            </w:r>
          </w:p>
        </w:tc>
        <w:tc>
          <w:tcPr>
            <w:tcW w:w="20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Mẫu đơn, tờ khai</w:t>
            </w:r>
          </w:p>
        </w:tc>
        <w:tc>
          <w:tcPr>
            <w:tcW w:w="20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Số lượng</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Văn bản đề nghị đưa cơ sở phá dỡ tàu biển vào hoạt động theo mẫu;</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Mẫu Văn bản đề nghị đưa cơ sở phá dỡ tàu biển đã qua sử dụng vào hoạt động.docx</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 xml:space="preserve">Giấy phép môi trường của chủ cơ sở phá dỡ tàu biển được cơ quan nhà nước có thẩm quyền cấp (bản sao có chứng thực hoặc bản sao kèm bản chính để đối chiếu hoặc bản sao điện tử hoặc bản sao điện tử từ sổ gốc hoặc bản sao điện tử có </w:t>
            </w:r>
            <w:r>
              <w:rPr>
                <w:rFonts w:ascii="Times New Roman" w:eastAsia="Times New Roman" w:hAnsi="Times New Roman" w:cs="Times New Roman"/>
                <w:sz w:val="26"/>
              </w:rPr>
              <w:t>chứng thực từ bản chính);</w:t>
            </w:r>
          </w:p>
        </w:tc>
        <w:tc>
          <w:tcPr>
            <w:tcW w:w="0" w:type="auto"/>
          </w:tcPr>
          <w:p w:rsidR="003A5B59" w:rsidRDefault="003A5B59"/>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 xml:space="preserve">Quy trình kiểm soát các yếu tố nguy hiểm, yếu tố có hại và phương án xử lý sự cố kỹ thuật gây mất an toàn, vệ sinh lao động nghiêm trọng (Bản chính hoặc hoặc bản sao có chứng thực hoặc bản sao điện tử </w:t>
            </w:r>
            <w:r>
              <w:rPr>
                <w:rFonts w:ascii="Times New Roman" w:eastAsia="Times New Roman" w:hAnsi="Times New Roman" w:cs="Times New Roman"/>
                <w:sz w:val="26"/>
              </w:rPr>
              <w:t>hoặc bản sao điện tử có chứng thực từ bản chính);</w:t>
            </w:r>
          </w:p>
        </w:tc>
        <w:tc>
          <w:tcPr>
            <w:tcW w:w="0" w:type="auto"/>
          </w:tcPr>
          <w:p w:rsidR="003A5B59" w:rsidRDefault="003A5B59"/>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Văn bản thẩm duyệt, kiểm tra nghiệm thu về phòng cháy và chữa cháy của cơ quan Cảnh sát phòng cháy và chữa cháy (bản sao có chứng thực hoặc bản sao kèm bản chính để đối chiếu hoặ</w:t>
            </w:r>
            <w:r>
              <w:rPr>
                <w:rFonts w:ascii="Times New Roman" w:eastAsia="Times New Roman" w:hAnsi="Times New Roman" w:cs="Times New Roman"/>
                <w:sz w:val="26"/>
              </w:rPr>
              <w:t>c bản sao điện tử hoặc bản sao điện tử từ sổ gốc hoặc bản sao điện tử có chứng thực từ bản chính).</w:t>
            </w:r>
          </w:p>
        </w:tc>
        <w:tc>
          <w:tcPr>
            <w:tcW w:w="0" w:type="auto"/>
          </w:tcPr>
          <w:p w:rsidR="003A5B59" w:rsidRDefault="003A5B59"/>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3A5B59" w:rsidRDefault="00AD4489">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Tổ chức (không bao gồ</w:t>
      </w:r>
      <w:r>
        <w:rPr>
          <w:rFonts w:ascii="Times New Roman" w:eastAsia="Times New Roman" w:hAnsi="Times New Roman" w:cs="Times New Roman"/>
          <w:sz w:val="26"/>
        </w:rPr>
        <w:t>m doanh nghiệp, HTX), Tổ chức nước ngoài, Hợp tác xã</w:t>
      </w:r>
    </w:p>
    <w:p w:rsidR="003A5B59" w:rsidRDefault="00AD4489">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Ủy ban nhân dân cấp tỉnh</w:t>
      </w:r>
    </w:p>
    <w:p w:rsidR="003A5B59" w:rsidRDefault="00AD4489">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3A5B59" w:rsidRDefault="00AD4489">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3A5B59" w:rsidRDefault="00AD4489">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3A5B59" w:rsidRDefault="00AD4489">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 xml:space="preserve">Không có thông </w:t>
      </w:r>
      <w:r>
        <w:rPr>
          <w:rFonts w:ascii="Times New Roman" w:eastAsia="Times New Roman" w:hAnsi="Times New Roman" w:cs="Times New Roman"/>
          <w:sz w:val="26"/>
        </w:rPr>
        <w:t>tin</w:t>
      </w:r>
    </w:p>
    <w:p w:rsidR="003A5B59" w:rsidRDefault="00AD4489">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Quyết định đưa cơ sở phá dỡ tàu biển vào hoạt động</w:t>
      </w:r>
    </w:p>
    <w:p w:rsidR="003A5B59" w:rsidRDefault="00AD4489">
      <w:pPr>
        <w:spacing w:after="0" w:line="276" w:lineRule="auto"/>
        <w:jc w:val="both"/>
      </w:pPr>
      <w:r>
        <w:rPr>
          <w:rFonts w:ascii="Times New Roman" w:eastAsia="Times New Roman" w:hAnsi="Times New Roman" w:cs="Times New Roman"/>
          <w:b/>
          <w:sz w:val="26"/>
        </w:rPr>
        <w:lastRenderedPageBreak/>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3A5B59">
        <w:tblPrEx>
          <w:tblCellMar>
            <w:top w:w="0" w:type="dxa"/>
            <w:bottom w:w="0" w:type="dxa"/>
          </w:tblCellMar>
        </w:tblPrEx>
        <w:tc>
          <w:tcPr>
            <w:tcW w:w="20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Số ký hiệu</w:t>
            </w:r>
          </w:p>
        </w:tc>
        <w:tc>
          <w:tcPr>
            <w:tcW w:w="35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Trích yếu</w:t>
            </w:r>
          </w:p>
        </w:tc>
        <w:tc>
          <w:tcPr>
            <w:tcW w:w="15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Ngày ban hành</w:t>
            </w:r>
          </w:p>
        </w:tc>
        <w:tc>
          <w:tcPr>
            <w:tcW w:w="3000" w:type="dxa"/>
          </w:tcPr>
          <w:p w:rsidR="003A5B59" w:rsidRDefault="003A5B59"/>
          <w:p w:rsidR="003A5B59" w:rsidRDefault="00AD4489">
            <w:pPr>
              <w:spacing w:after="0" w:line="276" w:lineRule="auto"/>
              <w:jc w:val="center"/>
            </w:pPr>
            <w:r>
              <w:rPr>
                <w:rFonts w:ascii="Times New Roman" w:eastAsia="Times New Roman" w:hAnsi="Times New Roman" w:cs="Times New Roman"/>
                <w:b/>
                <w:sz w:val="26"/>
              </w:rPr>
              <w:t>Cơ quan ban hành</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95/2015/QH13</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Hàng hải</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25-11-2015</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Quốc Hội</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82/2019/NĐ-CP</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quy định về nhập khẩu, phá dỡ tàu biển đã qua</w:t>
            </w:r>
            <w:r>
              <w:rPr>
                <w:rFonts w:ascii="Times New Roman" w:eastAsia="Times New Roman" w:hAnsi="Times New Roman" w:cs="Times New Roman"/>
                <w:sz w:val="26"/>
              </w:rPr>
              <w:t xml:space="preserve"> sử dụng.</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12-11-2019</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Chính phủ</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74/2023/NĐ-CP</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sửa đổi, bổ sung một số điều của các Nghị định quy định liên quan đến phân cấp giải quyết thủ tục hành chính trong lĩnh vực hàng hải (có hiệu lực từ ngày 11/10/2024)</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11-10-2023</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Chính phủ</w:t>
            </w:r>
          </w:p>
        </w:tc>
      </w:tr>
      <w:tr w:rsidR="003A5B59">
        <w:tblPrEx>
          <w:tblCellMar>
            <w:top w:w="0" w:type="dxa"/>
            <w:bottom w:w="0" w:type="dxa"/>
          </w:tblCellMar>
        </w:tblPrEx>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144/2025/NĐ-CP</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quy định về phân quyền, phân cấp trong lĩnh vực quản lý nhà nước của Bộ Xây dựng</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12-06-2025</w:t>
            </w:r>
          </w:p>
        </w:tc>
        <w:tc>
          <w:tcPr>
            <w:tcW w:w="0" w:type="auto"/>
          </w:tcPr>
          <w:p w:rsidR="003A5B59" w:rsidRDefault="003A5B59"/>
          <w:p w:rsidR="003A5B59" w:rsidRDefault="00AD4489">
            <w:pPr>
              <w:spacing w:after="0" w:line="276" w:lineRule="auto"/>
            </w:pPr>
            <w:r>
              <w:rPr>
                <w:rFonts w:ascii="Times New Roman" w:eastAsia="Times New Roman" w:hAnsi="Times New Roman" w:cs="Times New Roman"/>
                <w:sz w:val="26"/>
              </w:rPr>
              <w:t>Chính phủ</w:t>
            </w:r>
          </w:p>
        </w:tc>
      </w:tr>
    </w:tbl>
    <w:p w:rsidR="003A5B59" w:rsidRDefault="00AD4489">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3A5B59" w:rsidRDefault="00AD4489">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3A5B59" w:rsidRDefault="00AD4489">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3A5B59">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3A5B59"/>
    <w:rsid w:val="003A5B59"/>
    <w:rsid w:val="00AD448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99E77C3-6A5D-45C4-A7E3-C75E3C14B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562</Words>
  <Characters>3204</Characters>
  <Application>Microsoft Office Word</Application>
  <DocSecurity>0</DocSecurity>
  <Lines>26</Lines>
  <Paragraphs>7</Paragraphs>
  <ScaleCrop>false</ScaleCrop>
  <Company>Microsoft</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